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B7" w:rsidRPr="00D715BD" w:rsidRDefault="00D715BD" w:rsidP="00D715BD">
      <w:pPr>
        <w:jc w:val="center"/>
        <w:rPr>
          <w:rFonts w:ascii="Times New Roman" w:hAnsi="Times New Roman" w:cs="Times New Roman"/>
          <w:noProof/>
        </w:rPr>
      </w:pPr>
      <w:r w:rsidRPr="00D715B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A09E58B" wp14:editId="38B7CA35">
            <wp:extent cx="730250" cy="869950"/>
            <wp:effectExtent l="0" t="0" r="0" b="635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B7" w:rsidRPr="008F1FB7" w:rsidRDefault="008F1FB7" w:rsidP="00D715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1FB7">
        <w:rPr>
          <w:rFonts w:ascii="Times New Roman" w:hAnsi="Times New Roman" w:cs="Times New Roman"/>
          <w:b/>
          <w:sz w:val="28"/>
          <w:szCs w:val="28"/>
        </w:rPr>
        <w:t>СОВЕТ МУНИЦИПАЛЬНОГО РАЙОНА «ШИЛКИНСКИЙ РАЙОН»</w:t>
      </w:r>
    </w:p>
    <w:p w:rsidR="008F1FB7" w:rsidRPr="008F1FB7" w:rsidRDefault="008F1FB7" w:rsidP="00D715B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8F1FB7">
        <w:rPr>
          <w:rFonts w:ascii="Times New Roman" w:hAnsi="Times New Roman" w:cs="Times New Roman"/>
          <w:color w:val="auto"/>
        </w:rPr>
        <w:t>РЕШЕНИЕ</w:t>
      </w:r>
    </w:p>
    <w:p w:rsidR="00637638" w:rsidRDefault="00637638" w:rsidP="008F1F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D715BD" w:rsidP="008F1F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июня 2024 года</w:t>
      </w:r>
      <w:r w:rsidR="008F1FB7" w:rsidRPr="008F1FB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F1FB7" w:rsidRPr="008F1FB7">
        <w:rPr>
          <w:rFonts w:ascii="Times New Roman" w:hAnsi="Times New Roman" w:cs="Times New Roman"/>
          <w:sz w:val="28"/>
          <w:szCs w:val="28"/>
        </w:rPr>
        <w:tab/>
      </w:r>
      <w:r w:rsidR="008F1FB7"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24/131</w:t>
      </w:r>
    </w:p>
    <w:p w:rsidR="00487651" w:rsidRDefault="00487651" w:rsidP="009458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801" w:rsidRDefault="00FF5A34" w:rsidP="009458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ведения реестров</w:t>
      </w:r>
      <w:r w:rsidR="00945801"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</w:t>
      </w:r>
    </w:p>
    <w:p w:rsidR="008F1FB7" w:rsidRDefault="00D715BD" w:rsidP="009458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находящегося</w:t>
      </w:r>
      <w:r w:rsidR="00945801">
        <w:rPr>
          <w:rFonts w:ascii="Times New Roman" w:hAnsi="Times New Roman" w:cs="Times New Roman"/>
          <w:b/>
          <w:sz w:val="28"/>
          <w:szCs w:val="28"/>
        </w:rPr>
        <w:t xml:space="preserve"> в муниципальной собственности муниципального района «</w:t>
      </w:r>
      <w:proofErr w:type="spellStart"/>
      <w:r w:rsidR="00945801">
        <w:rPr>
          <w:rFonts w:ascii="Times New Roman" w:hAnsi="Times New Roman" w:cs="Times New Roman"/>
          <w:b/>
          <w:sz w:val="28"/>
          <w:szCs w:val="28"/>
        </w:rPr>
        <w:t>Шилкинский</w:t>
      </w:r>
      <w:proofErr w:type="spellEnd"/>
      <w:r w:rsidR="00945801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637638" w:rsidRDefault="00637638" w:rsidP="00945801">
      <w:pPr>
        <w:ind w:right="-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945801" w:rsidP="00945801">
      <w:pPr>
        <w:ind w:right="-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«Об общих принципах организации местного самоуправления в Российской Федерации»</w:t>
      </w:r>
      <w:r w:rsidR="00D715BD" w:rsidRPr="00D715BD">
        <w:rPr>
          <w:rFonts w:ascii="Times New Roman" w:hAnsi="Times New Roman" w:cs="Times New Roman"/>
          <w:sz w:val="28"/>
          <w:szCs w:val="28"/>
        </w:rPr>
        <w:t xml:space="preserve"> </w:t>
      </w:r>
      <w:r w:rsidR="00D715BD">
        <w:rPr>
          <w:rFonts w:ascii="Times New Roman" w:hAnsi="Times New Roman" w:cs="Times New Roman"/>
          <w:sz w:val="28"/>
          <w:szCs w:val="28"/>
        </w:rPr>
        <w:t>№ 131-ФЗ</w:t>
      </w:r>
      <w:r>
        <w:rPr>
          <w:rFonts w:ascii="Times New Roman" w:hAnsi="Times New Roman" w:cs="Times New Roman"/>
          <w:sz w:val="28"/>
          <w:szCs w:val="28"/>
        </w:rPr>
        <w:t>, Приказом министерства финансов Российской Федерации от 10.10.2023 № 163-н «Об утверждении порядка ведения органами местного самоуправления реестров муниципального имущества»</w:t>
      </w:r>
      <w:r w:rsidR="00D715BD">
        <w:rPr>
          <w:rFonts w:ascii="Times New Roman" w:hAnsi="Times New Roman" w:cs="Times New Roman"/>
          <w:sz w:val="28"/>
          <w:szCs w:val="28"/>
        </w:rPr>
        <w:t>, руководствуясь статьей</w:t>
      </w:r>
      <w:r w:rsidR="008F1FB7" w:rsidRPr="008F1FB7">
        <w:rPr>
          <w:rFonts w:ascii="Times New Roman" w:hAnsi="Times New Roman" w:cs="Times New Roman"/>
          <w:sz w:val="28"/>
          <w:szCs w:val="28"/>
        </w:rPr>
        <w:t xml:space="preserve"> 25 Устава муниципального района «</w:t>
      </w:r>
      <w:proofErr w:type="spellStart"/>
      <w:r w:rsidR="008F1FB7" w:rsidRPr="008F1FB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8F1FB7" w:rsidRPr="008F1FB7">
        <w:rPr>
          <w:rFonts w:ascii="Times New Roman" w:hAnsi="Times New Roman" w:cs="Times New Roman"/>
          <w:sz w:val="28"/>
          <w:szCs w:val="28"/>
        </w:rPr>
        <w:t xml:space="preserve"> район», Совет муниципа</w:t>
      </w:r>
      <w:r w:rsidR="00D715BD">
        <w:rPr>
          <w:rFonts w:ascii="Times New Roman" w:hAnsi="Times New Roman" w:cs="Times New Roman"/>
          <w:sz w:val="28"/>
          <w:szCs w:val="28"/>
        </w:rPr>
        <w:t xml:space="preserve">льного района </w:t>
      </w:r>
      <w:r w:rsidR="008F1FB7" w:rsidRPr="008F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FB7" w:rsidRPr="00D715BD" w:rsidRDefault="00D715BD" w:rsidP="00487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5BD">
        <w:rPr>
          <w:rFonts w:ascii="Times New Roman" w:hAnsi="Times New Roman" w:cs="Times New Roman"/>
          <w:b/>
          <w:sz w:val="28"/>
          <w:szCs w:val="28"/>
        </w:rPr>
        <w:t>решил</w:t>
      </w:r>
      <w:r w:rsidR="008F1FB7" w:rsidRPr="00D715BD">
        <w:rPr>
          <w:rFonts w:ascii="Times New Roman" w:hAnsi="Times New Roman" w:cs="Times New Roman"/>
          <w:b/>
          <w:sz w:val="28"/>
          <w:szCs w:val="28"/>
        </w:rPr>
        <w:t>:</w:t>
      </w:r>
    </w:p>
    <w:p w:rsidR="00487651" w:rsidRDefault="00487651" w:rsidP="004876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7651" w:rsidRPr="008F1FB7" w:rsidRDefault="008F1FB7" w:rsidP="0028328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FB7">
        <w:rPr>
          <w:rFonts w:ascii="Times New Roman" w:hAnsi="Times New Roman" w:cs="Times New Roman"/>
          <w:sz w:val="28"/>
          <w:szCs w:val="28"/>
        </w:rPr>
        <w:t xml:space="preserve">1. </w:t>
      </w:r>
      <w:r w:rsidR="00945801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8765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45801">
        <w:rPr>
          <w:rFonts w:ascii="Times New Roman" w:hAnsi="Times New Roman" w:cs="Times New Roman"/>
          <w:sz w:val="28"/>
          <w:szCs w:val="28"/>
        </w:rPr>
        <w:t xml:space="preserve"> </w:t>
      </w:r>
      <w:r w:rsidR="00487651">
        <w:rPr>
          <w:rFonts w:ascii="Times New Roman" w:hAnsi="Times New Roman" w:cs="Times New Roman"/>
          <w:sz w:val="28"/>
          <w:szCs w:val="28"/>
        </w:rPr>
        <w:t xml:space="preserve">ведения органами местного самоуправления реестров муниципального имущества </w:t>
      </w:r>
      <w:r w:rsidR="0094580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8F1FB7">
        <w:rPr>
          <w:rFonts w:ascii="Times New Roman" w:hAnsi="Times New Roman" w:cs="Times New Roman"/>
          <w:sz w:val="28"/>
          <w:szCs w:val="28"/>
        </w:rPr>
        <w:t>.</w:t>
      </w:r>
    </w:p>
    <w:p w:rsidR="00396C04" w:rsidRDefault="00283283" w:rsidP="00396C04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6C04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официального обнародования.</w:t>
      </w:r>
    </w:p>
    <w:p w:rsidR="00637638" w:rsidRPr="008F1FB7" w:rsidRDefault="00637638" w:rsidP="008F1FB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F1FB7" w:rsidRPr="008F1FB7" w:rsidRDefault="008F1FB7" w:rsidP="00487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1FB7">
        <w:rPr>
          <w:rFonts w:ascii="Times New Roman" w:hAnsi="Times New Roman" w:cs="Times New Roman"/>
          <w:sz w:val="28"/>
          <w:szCs w:val="28"/>
        </w:rPr>
        <w:t>Глава муниципального</w:t>
      </w:r>
      <w:r w:rsidR="00487651">
        <w:rPr>
          <w:rFonts w:ascii="Times New Roman" w:hAnsi="Times New Roman" w:cs="Times New Roman"/>
          <w:sz w:val="28"/>
          <w:szCs w:val="28"/>
        </w:rPr>
        <w:t xml:space="preserve"> </w:t>
      </w:r>
      <w:r w:rsidRPr="008F1FB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F1FB7">
        <w:rPr>
          <w:rFonts w:ascii="Times New Roman" w:hAnsi="Times New Roman" w:cs="Times New Roman"/>
          <w:sz w:val="28"/>
          <w:szCs w:val="28"/>
        </w:rPr>
        <w:tab/>
      </w:r>
      <w:r w:rsidRPr="008F1FB7">
        <w:rPr>
          <w:rFonts w:ascii="Times New Roman" w:hAnsi="Times New Roman" w:cs="Times New Roman"/>
          <w:sz w:val="28"/>
          <w:szCs w:val="28"/>
        </w:rPr>
        <w:tab/>
      </w:r>
      <w:r w:rsidRPr="008F1FB7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072B0">
        <w:rPr>
          <w:rFonts w:ascii="Times New Roman" w:hAnsi="Times New Roman" w:cs="Times New Roman"/>
          <w:sz w:val="28"/>
          <w:szCs w:val="28"/>
        </w:rPr>
        <w:t xml:space="preserve">      </w:t>
      </w:r>
      <w:r w:rsidRPr="008F1FB7">
        <w:rPr>
          <w:rFonts w:ascii="Times New Roman" w:hAnsi="Times New Roman" w:cs="Times New Roman"/>
          <w:sz w:val="28"/>
          <w:szCs w:val="28"/>
        </w:rPr>
        <w:t xml:space="preserve"> С.В.</w:t>
      </w:r>
      <w:r w:rsidR="00637638">
        <w:rPr>
          <w:rFonts w:ascii="Times New Roman" w:hAnsi="Times New Roman" w:cs="Times New Roman"/>
          <w:sz w:val="28"/>
          <w:szCs w:val="28"/>
        </w:rPr>
        <w:t xml:space="preserve"> </w:t>
      </w:r>
      <w:r w:rsidRPr="008F1FB7">
        <w:rPr>
          <w:rFonts w:ascii="Times New Roman" w:hAnsi="Times New Roman" w:cs="Times New Roman"/>
          <w:sz w:val="28"/>
          <w:szCs w:val="28"/>
        </w:rPr>
        <w:t xml:space="preserve">Воробьёв </w:t>
      </w:r>
    </w:p>
    <w:p w:rsidR="00426C54" w:rsidRDefault="00426C5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37638" w:rsidRDefault="00637638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637638" w:rsidRDefault="00637638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637638" w:rsidRDefault="00637638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A072B0">
      <w:pPr>
        <w:spacing w:after="0" w:line="240" w:lineRule="auto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4A318F" w:rsidRDefault="004A318F" w:rsidP="008F1FB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</w:p>
    <w:p w:rsidR="008F1FB7" w:rsidRPr="001E556A" w:rsidRDefault="00A072B0" w:rsidP="00A072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ПРИЛОЖЕНИЕ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к 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F1FB7" w:rsidRPr="001E556A">
        <w:rPr>
          <w:rFonts w:ascii="Times New Roman" w:hAnsi="Times New Roman" w:cs="Times New Roman"/>
          <w:sz w:val="24"/>
          <w:szCs w:val="24"/>
        </w:rPr>
        <w:t>ешению Совета муниципального</w:t>
      </w:r>
    </w:p>
    <w:p w:rsidR="008F1FB7" w:rsidRPr="001E556A" w:rsidRDefault="00A072B0" w:rsidP="00A072B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8F1FB7" w:rsidRPr="001E556A">
        <w:rPr>
          <w:rFonts w:ascii="Times New Roman" w:hAnsi="Times New Roman" w:cs="Times New Roman"/>
          <w:sz w:val="24"/>
          <w:szCs w:val="24"/>
        </w:rPr>
        <w:t xml:space="preserve"> района «</w:t>
      </w:r>
      <w:proofErr w:type="spellStart"/>
      <w:r w:rsidR="008F1FB7" w:rsidRPr="001E556A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="008F1FB7" w:rsidRPr="001E556A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 25 июня  </w:t>
      </w:r>
      <w:r w:rsidR="008F1FB7" w:rsidRPr="001E556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202</w:t>
      </w:r>
      <w:r w:rsidR="008F1FB7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 года № 24/131</w:t>
      </w:r>
    </w:p>
    <w:p w:rsidR="00426C54" w:rsidRDefault="00426C54">
      <w:pPr>
        <w:spacing w:beforeAutospacing="1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426C54" w:rsidRPr="008F1FB7" w:rsidRDefault="00945801">
      <w:pPr>
        <w:pStyle w:val="a9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F1FB7">
        <w:rPr>
          <w:rFonts w:ascii="Times New Roman" w:hAnsi="Times New Roman" w:cs="Times New Roman"/>
          <w:b/>
          <w:sz w:val="28"/>
          <w:szCs w:val="28"/>
          <w:lang w:eastAsia="ru-RU"/>
        </w:rPr>
        <w:t>Порядок ведения органами местного самоуправления реестров муниципального имущества</w:t>
      </w:r>
    </w:p>
    <w:p w:rsidR="00426C54" w:rsidRDefault="00426C54">
      <w:pPr>
        <w:pStyle w:val="a9"/>
        <w:ind w:firstLine="720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Настоящий Порядок устанавливает правила ведения органами местного самоуправления реестров муниципального имущества (далее - реестр), в том числе состав подлежащего учету муниципального имущества и порядок его учета, состав сведений, подлежащих отражению в реестрах, а также порядок предоставления содержащейся в реестрах информации о муниципальном имуществе.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объеме, необходимом для осуществления полномочий по управлению и распоряжению муниципальным имуществом.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Объектом учета муниципального имущества (далее - объект учета) является следующее муниципальное имущество: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</w:t>
      </w:r>
      <w:hyperlink r:id="rId7" w:anchor="1111" w:history="1">
        <w:r>
          <w:rPr>
            <w:rStyle w:val="a3"/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Учет находящихся в муниципальной собственности природных ресурсов (объектов), драгоценных металлов и драгоценных камней, музейных предметов и музейных коллекций, а также средств местных бюджетов регулируется законодательством о природных ресурсах, драгоценных металлах и драгоценных камнях, Музейном фонде Российской Федерации и музеях в Российской Федерации и бюджетным законодательством Российской Федерации.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Учет муниципального имущества, сведения об объектах и (или) о количестве объектов которого составляют государственную тайну, осуществляется муниципальным органом, в распоряжении которого находятся сведения, отнесенные в соответствии со статьей 9 Закона Российской Федерации от 21 июля 1993 г. № 5485-1 "О государственной тайне" к государственной тайне,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Ведение реестров осуществляется уполномоченными органами местного самоуправления соответствующих муниципальных образований (далее - уполномоченный орган).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Учет муниципального имущества в реестре сопровождается присвоением реестрового номера муниципального имущества (далее - реестровый номер), структура и правила формирования такого номера определяются уполномоченным органом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Рекомендуемый образец выписки из реестра приведен в </w:t>
      </w:r>
      <w:hyperlink r:id="rId8" w:anchor="11000" w:history="1"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приложении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Реестры ведутся на бумажных и (или) электронных носителях.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Способ ведения реестра определяется уполномоченным органом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 Неотъемлемой частью реестра являются: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документы, подтверждающие сведения, включаемые в реестр (далее - подтверждающие документы);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иные документы, предусмотренные правовыми актами органов местного самоуправления.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реестр ведется на электронном носителе, реестр хранится и обрабатывается с соблюдением требований информационной безопасности,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обеспечивающих конфиденциальность, целостность, доступность, подотчетность, аутентичность и достоверность информации.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Сведения, содержащиеся в реестре, хранятся в соответствии с Федеральным законом от 22 октября 2004 г. № 125-ФЗ "Об архивном деле в Российской Федерации".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II. Состав сведений, подлежащих отражению в реестре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Реестр состоит из 3 разделов.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сведениями о них. В разделы 1, 2, 3 сведения вносятся с приложением подтверждающих документов.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13. В раздел 1 вносятся сведения о недвижимом имуществе.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1.1 раздела 1 реестра вносятся сведения о земельных участках,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земельного участка;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земельного участка (с указанием кода Общероссийского классификатора территорий муниципальных образований (далее -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земельного участка (с датой присвоения);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(месту пребывания) (для физических лиц) (с указанием кода ОКТМО) (далее - сведения о правообладателе);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земельного участка;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произведенном улучшении земельного участка;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нахождения (для юридических лиц), адрес регистрации по месту жительства (месту пребывания) (для физических лиц) (с указанием кода ОКТМО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) (далее - 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объекта учета (с указанием кода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инвентарный номер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подраздел 1.3 раздела 1 реестра вносятся сведения о помещениях,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машино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-местах и иных объектах, отнесенных законом к недвижимости,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адрес (местоположение) объекта учета (с указанием кода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кадастровый номер объекта учета (с датой присвоения);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сведения о здании, сооружении, в состав которого входит объект учета (кадастровый номер, форма собственности);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инвентарный номер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назначение объекта учета;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порт (место) регистрации и (или) место (аэродром) базирования (с указанием кода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регистрационный номер (с датой присвоения);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судна;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произведенных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ремонте, модернизации судна;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судна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 2 вносятся сведения о движимом и ином имуществе.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подраздел 2.1 раздела 2 реестра вносятся сведения об акциях,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доля (вклад) в уставном (складочном) капитале хозяйственного общества, товарищества в процентах;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наименование движимого имущества (иного имущества);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объекте учета, в том числе: марка, модель, год выпуска, инвентарный номер;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размер доли в праве общей долевой собственности на объекты недвижимого и (или) движимого имущества;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стоимости доли;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об установленных в отношении доли ограничениях (обременениях) с указанием наименования вида ограничений (обременении), основания и даты их возникновения и прекращения;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лице, в пользу которого установлены ограничения (обременения);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о правообладателях;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реестровый номер объектов учета, принадлежащих на соответствующем вещном праве;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иные сведения (при необходимости).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Ведение учета объекта учета без указания стоимостной оценки не допускается.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III. Порядок учета муниципального имущества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426C54" w:rsidRPr="00A072B0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Если изменения касаются сведений о нескольких объектах учета, то правообладатель направляет заявление и документы, указанные в </w:t>
      </w:r>
      <w:hyperlink r:id="rId9" w:anchor="1017" w:history="1"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абзаце первом</w:t>
        </w:r>
      </w:hyperlink>
      <w:r w:rsidRPr="00A072B0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в отношении каждого объекта учета.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 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r:id="rId10" w:anchor="1018" w:history="1"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абзаце первом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пункта, в отношении каждого объекта учета.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реквизитов документов, подтверждающих засекречивание этих сведений.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образование не позднее дня, следующего за днем получения обращения об исключении из реестра засекреченных сведений,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обязан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 Сведения об объекте учета, заявления и документы, указанные в </w:t>
      </w:r>
      <w:hyperlink r:id="rId11" w:anchor="1015" w:history="1"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пунктах 15 - 18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подписи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уполномоченным должностным лицом правообладателя.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22. Муниципальное образование 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в) о приостановлении процедуры учета в реестре объекта учета в следующих случаях: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установлены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принятия муниципальным образованием решения, предусмотренного </w:t>
      </w:r>
      <w:hyperlink r:id="rId12" w:anchor="1223" w:history="1">
        <w:r w:rsid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подпунктом «</w:t>
        </w:r>
        <w:proofErr w:type="gramStart"/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в</w:t>
        </w:r>
        <w:proofErr w:type="gramEnd"/>
      </w:hyperlink>
      <w:r w:rsidR="00A072B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23.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муниципальное образование  в 7-дневный срок: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  (в том числе с дополнительными документами, подтверждающими недостающие в реестре сведения).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осуществляется муниципальным образованием в порядке, установленном </w:t>
      </w:r>
      <w:hyperlink r:id="rId13" w:anchor="1015" w:history="1">
        <w:r w:rsidRPr="00A072B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пунктами 15 - 23</w:t>
        </w:r>
      </w:hyperlink>
      <w:r w:rsidRPr="00A072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 Порядок принятия решений, предусмотренных настоящим Порядком, и сроки рассмотрения документов, если иное не предусмотрено настоящим Порядком, определяются муниципальным образованием 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IV. Предоставление информации из реестра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1"/>
      <w:bookmarkStart w:id="1" w:name="1027"/>
      <w:bookmarkEnd w:id="0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27.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</w:t>
      </w:r>
      <w:hyperlink r:id="rId14" w:anchor="1112" w:history="1">
        <w:r>
          <w:rPr>
            <w:rStyle w:val="a3"/>
            <w:rFonts w:ascii="Times New Roman" w:hAnsi="Times New Roman" w:cs="Times New Roman"/>
            <w:sz w:val="28"/>
            <w:szCs w:val="28"/>
            <w:vertAlign w:val="superscript"/>
            <w:lang w:eastAsia="ru-RU"/>
          </w:rPr>
          <w:t>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, а также региональных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Муниципальное образование вправе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предоставлять документы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указанные в настоящем пункте, безвозмездно или за плату, в случае если размер указанной платы определен решением представительного органа соответствующих муниципальных образований, за исключением случаев предоставления информации безвозмездно в порядке, предусмотренном </w:t>
      </w:r>
      <w:hyperlink r:id="rId15" w:anchor="1029" w:history="1">
        <w:r w:rsidRPr="002A01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29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28.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29.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Муниципальное образование 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 им муниципального имущества.</w:t>
      </w: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2A0131" w:rsidP="002A0131">
      <w:pPr>
        <w:pStyle w:val="a9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A0131" w:rsidRPr="00AF691D" w:rsidRDefault="002A0131" w:rsidP="002A0131">
      <w:pPr>
        <w:pStyle w:val="a9"/>
        <w:ind w:right="3118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</w:t>
      </w:r>
      <w:r w:rsidR="00945801" w:rsidRPr="00AF691D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426C54" w:rsidRPr="00AF691D" w:rsidRDefault="00945801" w:rsidP="002A0131">
      <w:pPr>
        <w:pStyle w:val="a9"/>
        <w:ind w:right="3118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>к порядку</w:t>
      </w:r>
      <w:r w:rsidR="002A0131" w:rsidRPr="00AF691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0131" w:rsidRPr="00AF691D">
        <w:rPr>
          <w:rFonts w:ascii="Times New Roman" w:hAnsi="Times New Roman" w:cs="Times New Roman"/>
          <w:sz w:val="24"/>
          <w:szCs w:val="24"/>
          <w:lang w:eastAsia="ru-RU"/>
        </w:rPr>
        <w:t>ведения органами местного</w:t>
      </w:r>
    </w:p>
    <w:p w:rsidR="002A0131" w:rsidRPr="00AF691D" w:rsidRDefault="002A0131" w:rsidP="002A0131">
      <w:pPr>
        <w:pStyle w:val="a9"/>
        <w:ind w:right="3118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 xml:space="preserve">самоуправления реестров муниципального </w:t>
      </w:r>
      <w:r w:rsidRPr="00AF691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AF691D">
        <w:rPr>
          <w:rFonts w:ascii="Times New Roman" w:hAnsi="Times New Roman" w:cs="Times New Roman"/>
          <w:sz w:val="24"/>
          <w:szCs w:val="24"/>
          <w:lang w:eastAsia="ru-RU"/>
        </w:rPr>
        <w:t>имущества</w:t>
      </w:r>
    </w:p>
    <w:p w:rsidR="00426C54" w:rsidRDefault="00426C54">
      <w:pPr>
        <w:pStyle w:val="a9"/>
        <w:ind w:firstLine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ВЫПИСКА №______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                из реестра муниципального имущества об объекте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                            учета муниципального имущества</w:t>
      </w:r>
      <w:bookmarkStart w:id="2" w:name="_GoBack"/>
      <w:bookmarkEnd w:id="2"/>
    </w:p>
    <w:p w:rsidR="00426C54" w:rsidRDefault="00426C54">
      <w:pPr>
        <w:pStyle w:val="a9"/>
        <w:ind w:firstLine="72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на "____"______________20___г.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   местного    самоуправления, уполномоченный   на  ведение  реестра муниципального имущества__________________________________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(наименование органа местного самоуправления,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уполномоченного на ведение реестра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          муниципального имущества)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Заявитель_____________________________________________________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</w:t>
      </w:r>
      <w:proofErr w:type="gramEnd"/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(при наличии) физического лица)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               1. Сведения об объекте муниципального имущества</w:t>
      </w: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Вид и наименование объекта учета_____________________________</w:t>
      </w:r>
    </w:p>
    <w:p w:rsidR="00426C54" w:rsidRDefault="00426C54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1511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6"/>
        <w:gridCol w:w="88"/>
        <w:gridCol w:w="30"/>
        <w:gridCol w:w="438"/>
        <w:gridCol w:w="209"/>
        <w:gridCol w:w="3305"/>
        <w:gridCol w:w="941"/>
        <w:gridCol w:w="4258"/>
        <w:gridCol w:w="236"/>
      </w:tblGrid>
      <w:tr w:rsidR="00426C54">
        <w:trPr>
          <w:trHeight w:val="525"/>
        </w:trPr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Pr="002A0131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6C54" w:rsidRPr="002A0131" w:rsidRDefault="00426C5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26C54" w:rsidRPr="002A0131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Pr="002A0131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dxa"/>
            <w:tcBorders>
              <w:right w:val="single" w:sz="4" w:space="0" w:color="000000"/>
            </w:tcBorders>
          </w:tcPr>
          <w:p w:rsidR="00426C54" w:rsidRPr="002A0131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Pr="002A0131" w:rsidRDefault="00945801">
            <w:pPr>
              <w:pStyle w:val="a9"/>
              <w:widowControl w:val="0"/>
              <w:spacing w:line="276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79" w:type="dxa"/>
            <w:gridSpan w:val="2"/>
            <w:tcBorders>
              <w:lef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6C54">
        <w:trPr>
          <w:trHeight w:val="120"/>
        </w:trPr>
        <w:tc>
          <w:tcPr>
            <w:tcW w:w="2158" w:type="dxa"/>
            <w:gridSpan w:val="3"/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5" w:type="dxa"/>
          </w:tcPr>
          <w:p w:rsidR="00426C54" w:rsidRDefault="00426C54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8858" w:type="dxa"/>
            <w:gridSpan w:val="4"/>
          </w:tcPr>
          <w:p w:rsidR="00426C54" w:rsidRDefault="00426C54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4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C54" w:rsidRDefault="00426C54">
            <w:pPr>
              <w:widowControl w:val="0"/>
            </w:pPr>
          </w:p>
        </w:tc>
      </w:tr>
    </w:tbl>
    <w:p w:rsidR="00426C54" w:rsidRDefault="00426C54">
      <w:pPr>
        <w:pStyle w:val="a9"/>
        <w:ind w:firstLine="720"/>
        <w:jc w:val="both"/>
        <w:rPr>
          <w:rFonts w:ascii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8976" w:type="dxa"/>
        <w:tblInd w:w="-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0"/>
        <w:gridCol w:w="4394"/>
        <w:gridCol w:w="142"/>
      </w:tblGrid>
      <w:tr w:rsidR="00426C54" w:rsidTr="002A0131">
        <w:trPr>
          <w:trHeight w:val="300"/>
        </w:trPr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26C54" w:rsidRPr="002A0131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Наименования сведений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Pr="002A0131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01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Значения сведений</w:t>
            </w:r>
          </w:p>
        </w:tc>
        <w:tc>
          <w:tcPr>
            <w:tcW w:w="142" w:type="dxa"/>
            <w:vMerge w:val="restart"/>
            <w:tcBorders>
              <w:lef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131" w:rsidTr="002A0131">
        <w:trPr>
          <w:trHeight w:val="300"/>
        </w:trPr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A0131" w:rsidRDefault="002A0131" w:rsidP="009E6E47">
            <w:pPr>
              <w:pStyle w:val="a9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131" w:rsidRDefault="002A0131" w:rsidP="009E6E47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2" w:type="dxa"/>
            <w:vMerge/>
            <w:tcBorders>
              <w:left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131" w:rsidTr="002A0131">
        <w:trPr>
          <w:trHeight w:val="180"/>
        </w:trPr>
        <w:tc>
          <w:tcPr>
            <w:tcW w:w="4440" w:type="dxa"/>
            <w:tcBorders>
              <w:top w:val="single" w:sz="4" w:space="0" w:color="000000"/>
              <w:left w:val="single" w:sz="4" w:space="0" w:color="auto"/>
            </w:tcBorders>
          </w:tcPr>
          <w:p w:rsidR="002A0131" w:rsidRDefault="002A0131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0131" w:rsidRDefault="002A0131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131" w:rsidRDefault="002A01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131" w:rsidTr="002A0131">
        <w:tc>
          <w:tcPr>
            <w:tcW w:w="44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0131" w:rsidRDefault="002A01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131" w:rsidTr="002A0131">
        <w:trPr>
          <w:trHeight w:val="120"/>
        </w:trPr>
        <w:tc>
          <w:tcPr>
            <w:tcW w:w="4440" w:type="dxa"/>
            <w:tcBorders>
              <w:left w:val="single" w:sz="4" w:space="0" w:color="auto"/>
              <w:bottom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" w:type="dxa"/>
            <w:tcBorders>
              <w:left w:val="single" w:sz="4" w:space="0" w:color="000000"/>
            </w:tcBorders>
          </w:tcPr>
          <w:p w:rsidR="002A0131" w:rsidRDefault="002A013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26C54" w:rsidRDefault="00426C54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Default="00945801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Информация  об изменении   сведений   об объекте учета  муниципального имущества</w:t>
      </w:r>
    </w:p>
    <w:tbl>
      <w:tblPr>
        <w:tblW w:w="9117" w:type="dxa"/>
        <w:tblInd w:w="-8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7"/>
        <w:gridCol w:w="2809"/>
        <w:gridCol w:w="2861"/>
      </w:tblGrid>
      <w:tr w:rsidR="00426C54">
        <w:trPr>
          <w:trHeight w:hRule="exact" w:val="25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426C54" w:rsidRDefault="00426C54">
            <w:pPr>
              <w:widowControl w:val="0"/>
              <w:rPr>
                <w:rFonts w:cs="Times New Roman"/>
              </w:rPr>
            </w:pPr>
          </w:p>
        </w:tc>
        <w:tc>
          <w:tcPr>
            <w:tcW w:w="2809" w:type="dxa"/>
            <w:tcBorders>
              <w:bottom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6C54">
        <w:trPr>
          <w:trHeight w:val="28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изменения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сведений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Дата изменения</w:t>
            </w:r>
          </w:p>
        </w:tc>
      </w:tr>
      <w:tr w:rsidR="00426C54">
        <w:trPr>
          <w:trHeight w:hRule="exact" w:val="105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6C54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Default="00945801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26C54"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6C54">
        <w:trPr>
          <w:trHeight w:hRule="exact" w:val="165"/>
        </w:trPr>
        <w:tc>
          <w:tcPr>
            <w:tcW w:w="3447" w:type="dxa"/>
            <w:tcBorders>
              <w:left w:val="single" w:sz="4" w:space="0" w:color="000000"/>
              <w:bottom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1" w:type="dxa"/>
            <w:tcBorders>
              <w:bottom w:val="single" w:sz="4" w:space="0" w:color="000000"/>
              <w:right w:val="single" w:sz="4" w:space="0" w:color="000000"/>
            </w:tcBorders>
          </w:tcPr>
          <w:p w:rsidR="00426C54" w:rsidRDefault="00426C54">
            <w:pPr>
              <w:pStyle w:val="a9"/>
              <w:widowControl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6C54">
        <w:trPr>
          <w:trHeight w:hRule="exact" w:val="150"/>
        </w:trPr>
        <w:tc>
          <w:tcPr>
            <w:tcW w:w="3447" w:type="dxa"/>
            <w:tcBorders>
              <w:top w:val="single" w:sz="4" w:space="0" w:color="000000"/>
            </w:tcBorders>
          </w:tcPr>
          <w:p w:rsidR="00426C54" w:rsidRDefault="00426C54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2809" w:type="dxa"/>
            <w:tcBorders>
              <w:top w:val="single" w:sz="4" w:space="0" w:color="000000"/>
            </w:tcBorders>
          </w:tcPr>
          <w:p w:rsidR="00426C54" w:rsidRDefault="00426C54">
            <w:pPr>
              <w:widowControl w:val="0"/>
              <w:spacing w:after="0"/>
              <w:rPr>
                <w:rFonts w:cs="Times New Roman"/>
              </w:rPr>
            </w:pPr>
          </w:p>
        </w:tc>
        <w:tc>
          <w:tcPr>
            <w:tcW w:w="2861" w:type="dxa"/>
            <w:tcBorders>
              <w:top w:val="single" w:sz="4" w:space="0" w:color="000000"/>
            </w:tcBorders>
          </w:tcPr>
          <w:p w:rsidR="00426C54" w:rsidRDefault="00426C54">
            <w:pPr>
              <w:widowControl w:val="0"/>
              <w:spacing w:after="0"/>
              <w:rPr>
                <w:rFonts w:cs="Times New Roman"/>
              </w:rPr>
            </w:pPr>
          </w:p>
        </w:tc>
      </w:tr>
    </w:tbl>
    <w:p w:rsidR="00426C54" w:rsidRPr="00AF691D" w:rsidRDefault="00945801">
      <w:pPr>
        <w:pStyle w:val="a9"/>
        <w:ind w:firstLine="72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F691D">
        <w:rPr>
          <w:rFonts w:ascii="Times New Roman" w:hAnsi="Times New Roman" w:cs="Times New Roman"/>
          <w:sz w:val="20"/>
          <w:szCs w:val="20"/>
          <w:lang w:eastAsia="ru-RU"/>
        </w:rPr>
        <w:t>ОТМЕТКА О ПОДТВЕРЖДЕНИИ СВЕДЕНИЙ,</w:t>
      </w:r>
    </w:p>
    <w:p w:rsidR="00426C54" w:rsidRPr="002A0131" w:rsidRDefault="00945801">
      <w:pPr>
        <w:pStyle w:val="a9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F691D">
        <w:rPr>
          <w:rFonts w:ascii="Times New Roman" w:hAnsi="Times New Roman" w:cs="Times New Roman"/>
          <w:sz w:val="20"/>
          <w:szCs w:val="20"/>
          <w:lang w:eastAsia="ru-RU"/>
        </w:rPr>
        <w:t>СОДЕРЖАЩИХСЯ</w:t>
      </w:r>
      <w:proofErr w:type="gramEnd"/>
      <w:r w:rsidRPr="00AF691D">
        <w:rPr>
          <w:rFonts w:ascii="Times New Roman" w:hAnsi="Times New Roman" w:cs="Times New Roman"/>
          <w:sz w:val="20"/>
          <w:szCs w:val="20"/>
          <w:lang w:eastAsia="ru-RU"/>
        </w:rPr>
        <w:t xml:space="preserve"> В НАСТОЯЩЕЙ ВЫПИСКЕ</w:t>
      </w:r>
    </w:p>
    <w:p w:rsidR="00426C54" w:rsidRDefault="00426C54">
      <w:pPr>
        <w:pStyle w:val="a9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6C54" w:rsidRPr="00AF691D" w:rsidRDefault="00945801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>Ответственный</w:t>
      </w:r>
    </w:p>
    <w:p w:rsidR="00426C54" w:rsidRPr="00AF691D" w:rsidRDefault="00945801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>исполнитель:   _____________  _____________ ____________________</w:t>
      </w:r>
    </w:p>
    <w:p w:rsidR="00426C54" w:rsidRPr="00AF691D" w:rsidRDefault="00945801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>                (должность)     (подпись)      (расшифровка подписи)</w:t>
      </w:r>
    </w:p>
    <w:p w:rsidR="00637638" w:rsidRPr="00AF691D" w:rsidRDefault="00637638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26C54" w:rsidRPr="00AF691D" w:rsidRDefault="00945801" w:rsidP="00AF691D">
      <w:pPr>
        <w:pStyle w:val="a9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F691D">
        <w:rPr>
          <w:rFonts w:ascii="Times New Roman" w:hAnsi="Times New Roman" w:cs="Times New Roman"/>
          <w:sz w:val="24"/>
          <w:szCs w:val="24"/>
          <w:lang w:eastAsia="ru-RU"/>
        </w:rPr>
        <w:t>"____"______________20__ г.</w:t>
      </w:r>
    </w:p>
    <w:sectPr w:rsidR="00426C54" w:rsidRPr="00AF691D" w:rsidSect="00637638">
      <w:pgSz w:w="11906" w:h="16838"/>
      <w:pgMar w:top="567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54"/>
    <w:rsid w:val="001B0E63"/>
    <w:rsid w:val="00283283"/>
    <w:rsid w:val="002A0131"/>
    <w:rsid w:val="00396C04"/>
    <w:rsid w:val="00426C54"/>
    <w:rsid w:val="00487651"/>
    <w:rsid w:val="004A318F"/>
    <w:rsid w:val="005E4F65"/>
    <w:rsid w:val="00637638"/>
    <w:rsid w:val="0066758A"/>
    <w:rsid w:val="008B0458"/>
    <w:rsid w:val="008F1FB7"/>
    <w:rsid w:val="00945801"/>
    <w:rsid w:val="00A072B0"/>
    <w:rsid w:val="00AF691D"/>
    <w:rsid w:val="00D715BD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C2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02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02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C02C29"/>
    <w:rPr>
      <w:color w:val="0000FF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02C29"/>
  </w:style>
  <w:style w:type="paragraph" w:customStyle="1" w:styleId="ConsPlusNormal">
    <w:name w:val="ConsPlusNormal"/>
    <w:qFormat/>
    <w:rsid w:val="00C02C2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qFormat/>
    <w:rsid w:val="00C02C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Содержимое врезки"/>
    <w:basedOn w:val="a"/>
    <w:qFormat/>
  </w:style>
  <w:style w:type="paragraph" w:styleId="ab">
    <w:name w:val="Title"/>
    <w:basedOn w:val="a"/>
    <w:link w:val="ac"/>
    <w:qFormat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8F1F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8F1FB7"/>
    <w:pPr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5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5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8023687/?ysclid=lu2fpuegk5115412271" TargetMode="External"/><Relationship Id="rId13" Type="http://schemas.openxmlformats.org/officeDocument/2006/relationships/hyperlink" Target="https://www.garant.ru/products/ipo/prime/doc/408023687/?ysclid=lu2fpuegk511541227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arant.ru/products/ipo/prime/doc/408023687/?ysclid=lu2fpuegk5115412271" TargetMode="External"/><Relationship Id="rId12" Type="http://schemas.openxmlformats.org/officeDocument/2006/relationships/hyperlink" Target="https://www.garant.ru/products/ipo/prime/doc/408023687/?ysclid=lu2fpuegk511541227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garant.ru/products/ipo/prime/doc/408023687/?ysclid=lu2fpuegk511541227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arant.ru/products/ipo/prime/doc/408023687/?ysclid=lu2fpuegk5115412271" TargetMode="External"/><Relationship Id="rId10" Type="http://schemas.openxmlformats.org/officeDocument/2006/relationships/hyperlink" Target="https://www.garant.ru/products/ipo/prime/doc/408023687/?ysclid=lu2fpuegk51154122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8023687/?ysclid=lu2fpuegk5115412271" TargetMode="External"/><Relationship Id="rId14" Type="http://schemas.openxmlformats.org/officeDocument/2006/relationships/hyperlink" Target="https://www.garant.ru/products/ipo/prime/doc/408023687/?ysclid=lu2fpuegk5115412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C814-E9F9-4965-843C-B2849926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4791</Words>
  <Characters>27311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Postmaster</cp:lastModifiedBy>
  <cp:revision>10</cp:revision>
  <cp:lastPrinted>2024-06-19T00:14:00Z</cp:lastPrinted>
  <dcterms:created xsi:type="dcterms:W3CDTF">2024-06-07T03:45:00Z</dcterms:created>
  <dcterms:modified xsi:type="dcterms:W3CDTF">2024-06-27T04:18:00Z</dcterms:modified>
  <dc:language>ru-RU</dc:language>
</cp:coreProperties>
</file>